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26" w:lineRule="exact"/>
        <w:rPr>
          <w:color w:val="auto"/>
          <w:sz w:val="32"/>
          <w:lang w:val="en-US" w:eastAsia="zh-CN"/>
          <w:szCs w:val="32"/>
          <w:rFonts w:ascii="Times New Roman" w:hAnsi="Times New Roman" w:eastAsia="黑体" w:cs="Times New Roman" w:hint="default"/>
        </w:rPr>
      </w:pPr>
      <w:r>
        <w:rPr>
          <w:color w:val="auto"/>
          <w:sz w:val="32"/>
          <w:lang w:val="en-US" w:eastAsia="zh-CN"/>
          <w:szCs w:val="32"/>
          <w:rFonts w:ascii="Times New Roman" w:hAnsi="Times New Roman" w:eastAsia="黑体" w:cs="Times New Roman" w:hint="default"/>
        </w:rPr>
        <w:t>附件1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26" w:lineRule="exact"/>
        <w:rPr>
          <w:color w:val="auto"/>
          <w:sz w:val="44"/>
          <w:lang w:val="en-US" w:eastAsia="zh-CN"/>
          <w:szCs w:val="44"/>
          <w:rFonts w:ascii="黑体" w:hAnsi="黑体" w:eastAsia="黑体" w:cs="黑体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640" w:lineRule="exact"/>
        <w:rPr>
          <w:color w:val="auto"/>
          <w:sz w:val="44"/>
          <w:lang w:val="en-US" w:eastAsia="zh-CN"/>
          <w:szCs w:val="44"/>
          <w:rFonts w:ascii="方正小标宋_GBK" w:hAnsi="方正小标宋_GBK" w:eastAsia="方正小标宋_GBK" w:cs="方正小标宋_GBK" w:hint="eastAsia"/>
        </w:rPr>
      </w:pPr>
      <w:r>
        <w:rPr>
          <w:color w:val="auto"/>
          <w:sz w:val="44"/>
          <w:lang w:val="en-US" w:eastAsia="zh-CN"/>
          <w:szCs w:val="44"/>
          <w:rFonts w:ascii="方正小标宋_GBK" w:hAnsi="方正小标宋_GBK" w:eastAsia="方正小标宋_GBK" w:cs="方正小标宋_GBK" w:hint="eastAsia"/>
        </w:rPr>
        <w:t>“恭城油茶制作标准店”评比工作方案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widowControl w:val="0"/>
        <w:spacing w:line="526" w:lineRule="exact"/>
        <w:rPr>
          <w:color w:val="auto"/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为了进一步提升恭城油茶的品牌影响力和市场竞争力，推动恭城油茶产业健康发展，特开展恭城油茶制作标准店评比工作。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黑体" w:hAnsi="黑体" w:eastAsia="黑体" w:cs="黑体" w:hint="eastAsia"/>
        </w:rPr>
      </w:pPr>
      <w:r>
        <w:rPr>
          <w:color w:val="auto"/>
          <w:sz w:val="32"/>
          <w:lang w:val="en-US" w:eastAsia="zh-CN"/>
          <w:szCs w:val="32"/>
          <w:rFonts w:ascii="黑体" w:hAnsi="黑体" w:eastAsia="黑体" w:cs="黑体" w:hint="eastAsia"/>
        </w:rPr>
        <w:t>一、参评条件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（一）参评单位原则要求是恭城瑶族自治油茶协会会员；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（二）参评单位必须是正常经营“恭城油茶”餐饮的实体门店，持有有效期内的《营业执照》和《食品经营许可证》，从业人员持有有效期内的健康证明。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（三）参评单位应本着自愿参与的原则，内部管理规范，从业人员着装统一整洁，有较完善的食品安全管理制度和应急处置方案。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（四）参评单位应有符合条件的经营场所和完善的设施、设备，场所卫生整洁，连续3年以上无违反食品安全法律法规受到行政处罚的记录，3年内未发生较大以上食品安全事故。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黑体" w:hAnsi="黑体" w:eastAsia="黑体" w:cs="黑体" w:hint="default"/>
        </w:rPr>
      </w:pPr>
      <w:r>
        <w:rPr>
          <w:color w:val="auto"/>
          <w:sz w:val="32"/>
          <w:lang w:val="en-US" w:eastAsia="zh-CN"/>
          <w:szCs w:val="32"/>
          <w:rFonts w:ascii="黑体" w:hAnsi="黑体" w:eastAsia="黑体" w:cs="黑体" w:hint="default"/>
        </w:rPr>
        <w:t>二、评比标准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对参评对象从经营场所规范、主体资格规范、标牌标识规范、设备设施规范、卫生规范、食品安全管理规范、服务质量规范、恭城油茶制作规范、企业文化规范、企业诚信规范等10个方面按《恭城油茶制作标准店评分标准》（详见附件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2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）进行打分评比，达85分以上（含85分）可评为恭城油茶制作标准店。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黑体" w:hAnsi="黑体" w:eastAsia="黑体" w:cs="黑体" w:hint="default"/>
        </w:rPr>
      </w:pPr>
      <w:r>
        <w:rPr>
          <w:color w:val="auto"/>
          <w:sz w:val="32"/>
          <w:lang w:val="en-US" w:eastAsia="zh-CN"/>
          <w:szCs w:val="32"/>
          <w:rFonts w:ascii="黑体" w:hAnsi="黑体" w:eastAsia="黑体" w:cs="黑体" w:hint="default"/>
        </w:rPr>
        <w:t>三、评比流程及时间安排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（一）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申报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阶段（2024年7月8日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—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7月28日）：在有关网站发布《关于开展“恭城油茶制作标准店”评比的通知》，通过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填写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《“恭城油茶制作标准店”申报表》（详见附件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3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）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发送到指定邮箱进行申报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。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申报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时间为2024年7月8日起至2024年7月28日止。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（二）预评审阶段（2024年7月29日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—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7月31日）：由县油茶产业发展服务中心、县市场监督管理局、县科技工信和商贸局、文广体旅局及县油茶协会对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申报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参评单位对照参评条件进行筛选，确定符合条件的参评单位名单。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（二）评审阶段（2024年8月1日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—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9月20日）：由县油茶产业发展服务中心、县市场监督管理局、县科技工信和商贸局、县文广体旅局、县油茶协会等部门抽调人员组成评审小组，根据城市地理位置分组对参评单位按《“恭城油茶制作标准店”评分标准》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（附件2）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进行现场考察和评审。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（三）评选结果公布（2024年9月21日--9月30日）：经过评审小组的综合评定，最终确定“恭城油茶制作标准店”名单并予以公布。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（四）授牌（2024年10月30日前）：对本次评选出的恭城油茶制作标准店，由恭城瑶族自治人民政府颁发“恭城油茶制作标准店”牌匾，并制作“恭城油茶制作标准店”小程序，通过网络媒体加强宣传，</w:t>
      </w:r>
      <w:r>
        <w:rPr>
          <w:color w:val="000000" w:themeColor="text1"/>
          <w:sz w:val="32"/>
          <w:lang w:val="en-US" w:eastAsia="zh-CN"/>
          <w:szCs w:val="32"/>
          <w14:textFill>
            <w14:solidFill>
              <w14:schemeClr w14:val="tx1"/>
            </w14:solidFill>
          </w14:textFill>
          <w:rFonts w:ascii="Times New Roman" w:hAnsi="Times New Roman" w:eastAsia="仿宋_GB2312" w:cs="Times New Roman" w:hint="default"/>
        </w:rPr>
        <w:t>让消费者知晓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恭城油茶制作标准门店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eastAsia"/>
        </w:rPr>
        <w:t>详情</w:t>
      </w: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（五）后期管理：每年对恭城油茶制作标准店按《“恭城油茶制作标准店”评分标准》开展一次回访评分，对回访评分低于85分的门店下达限期整改通知书，限期整改时限过后进行复核评分仍未达到85分以上的将予以摘牌，并从“恭城油茶制作标准店”小程序中移出，通过网络媒体向社会公布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黑体" w:hAnsi="黑体" w:eastAsia="黑体" w:cs="黑体" w:hint="default"/>
        </w:rPr>
      </w:pPr>
      <w:r>
        <w:rPr>
          <w:color w:val="auto"/>
          <w:sz w:val="32"/>
          <w:lang w:val="en-US" w:eastAsia="zh-CN"/>
          <w:szCs w:val="32"/>
          <w:rFonts w:ascii="黑体" w:hAnsi="黑体" w:eastAsia="黑体" w:cs="黑体" w:hint="default"/>
        </w:rPr>
        <w:t>四、其他事项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（一）参评单位应如实提供相关资料，如有弄虚作假等行为，将取消其参评资格；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586" w:lineRule="exact"/>
        <w:ind w:firstLine="640" w:firstLineChars="200"/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color w:val="auto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（二）评比过程中，评审小组将严格按照评分标准进行评分，确保评比结果的公正性和客观性。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widowControl w:val="0"/>
        <w:spacing w:line="526" w:lineRule="exact"/>
        <w:ind w:firstLine="640"/>
        <w:rPr>
          <w:color w:val="auto"/>
          <w:sz w:val="32"/>
          <w:lang w:val="en-US" w:eastAsia="zh-CN"/>
          <w:szCs w:val="32"/>
          <w:rFonts w:ascii="仿宋_GB2312" w:hAnsi="仿宋_GB2312" w:eastAsia="仿宋_GB2312" w:cs="仿宋_GB2312" w:hint="default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widowControl w:val="0"/>
        <w:spacing w:line="526" w:lineRule="exact"/>
        <w:ind w:firstLine="3846" w:firstLineChars="1202"/>
        <w:rPr>
          <w:color w:val="auto"/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left"/>
        <w:widowControl w:val="0"/>
        <w:spacing w:line="586" w:lineRule="exact"/>
        <w:ind/>
        <w:rPr>
          <w:color w:val="auto"/>
          <w:sz w:val="32"/>
          <w:lang w:val="en-US" w:eastAsia="zh-CN"/>
          <w:rFonts w:ascii="Times New Roman" w:hAnsi="Times New Roman" w:eastAsia="仿宋_GB2312" w:cs="Times New Roman" w:hint="default"/>
        </w:rPr>
      </w:pPr>
      <w:r>
        <w:rPr>
          <w:color w:val="auto"/>
          <w:sz w:val="32"/>
          <w:lang w:val="en-US" w:eastAsia="zh-CN"/>
          <w:rFonts w:ascii="Times New Roman" w:hAnsi="Times New Roman" w:eastAsia="仿宋_GB2312" w:cs="Times New Roman" w:hint="default"/>
        </w:rPr>
        <w:t xml:space="preserve">      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left"/>
        <w:widowControl w:val="0"/>
        <w:spacing w:line="586" w:lineRule="exact"/>
        <w:ind/>
        <w:rPr>
          <w:color w:val="auto"/>
          <w:sz w:val="32"/>
          <w:lang w:val="en-US" w:eastAsia="zh-CN"/>
          <w:rFonts w:ascii="Times New Roman" w:hAnsi="Times New Roman" w:eastAsia="仿宋_GB2312" w:cs="Times New Roman" w:hint="default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left"/>
        <w:widowControl w:val="0"/>
        <w:spacing w:line="586" w:lineRule="exact"/>
        <w:ind/>
        <w:rPr>
          <w:color w:val="auto"/>
          <w:sz w:val="32"/>
          <w:lang w:val="en-US" w:eastAsia="zh-CN"/>
          <w:rFonts w:ascii="Times New Roman" w:hAnsi="Times New Roman" w:eastAsia="仿宋_GB2312" w:cs="Times New Roman" w:hint="default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left"/>
        <w:widowControl w:val="0"/>
        <w:spacing w:line="586" w:lineRule="exact"/>
        <w:ind/>
        <w:rPr>
          <w:color w:val="auto"/>
          <w:sz w:val="32"/>
          <w:lang w:val="en-US" w:eastAsia="zh-CN"/>
          <w:rFonts w:ascii="Times New Roman" w:hAnsi="Times New Roman" w:eastAsia="仿宋_GB2312" w:cs="Times New Roman" w:hint="default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left"/>
        <w:widowControl w:val="0"/>
        <w:spacing w:line="586" w:lineRule="exact"/>
        <w:ind/>
        <w:rPr>
          <w:color w:val="auto"/>
          <w:sz w:val="32"/>
          <w:lang w:val="en-US" w:eastAsia="zh-CN"/>
          <w:rFonts w:ascii="Times New Roman" w:hAnsi="Times New Roman" w:eastAsia="仿宋_GB2312" w:cs="Times New Roman" w:hint="default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left"/>
        <w:widowControl w:val="0"/>
        <w:spacing w:line="586" w:lineRule="exact"/>
        <w:ind/>
        <w:rPr>
          <w:color w:val="auto"/>
          <w:sz w:val="32"/>
          <w:lang w:val="en-US" w:eastAsia="zh-CN"/>
          <w:rFonts w:ascii="Times New Roman" w:hAnsi="Times New Roman" w:eastAsia="仿宋_GB2312" w:cs="Times New Roman" w:hint="default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widowControl w:val="0"/>
        <w:spacing w:line="526" w:lineRule="exact"/>
        <w:ind w:firstLine="3846" w:firstLineChars="1202"/>
        <w:rPr>
          <w:color w:val="auto"/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widowControl w:val="0"/>
        <w:spacing w:line="526" w:lineRule="exact"/>
        <w:ind w:firstLine="3846" w:firstLineChars="1202"/>
        <w:rPr>
          <w:color w:val="auto"/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widowControl w:val="0"/>
        <w:spacing w:line="526" w:lineRule="exact"/>
        <w:ind w:firstLine="3846" w:firstLineChars="1202"/>
        <w:rPr>
          <w:color w:val="auto"/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widowControl w:val="0"/>
        <w:spacing w:line="526" w:lineRule="exact"/>
        <w:ind w:firstLine="3846" w:firstLineChars="1202"/>
        <w:rPr>
          <w:color w:val="auto"/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widowControl w:val="0"/>
        <w:spacing w:line="526" w:lineRule="exact"/>
        <w:rPr>
          <w:color w:val="auto"/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bookmarkStart w:id="0" w:name="_GoBack"/>
      <w:bookmarkEnd w:id="0"/>
    </w:p>
    <w:p>
      <w:pPr>
        <w:rPr>
          <w:b w:val="0"/>
          <w:sz w:val="32"/>
          <w:lang w:val="en-US" w:eastAsia="zh-CN"/>
          <w:bCs w:val="0"/>
          <w:szCs w:val="32"/>
          <w:rFonts w:ascii="Times New Roman" w:hAnsi="Times New Roman" w:eastAsia="黑体" w:cs="Times New Roman" w:hint="default"/>
        </w:rPr>
      </w:pPr>
      <w:r>
        <w:rPr>
          <w:b w:val="0"/>
          <w:sz w:val="32"/>
          <w:lang w:val="en-US" w:eastAsia="zh-CN"/>
          <w:bCs w:val="0"/>
          <w:szCs w:val="32"/>
          <w:rFonts w:ascii="Times New Roman" w:hAnsi="Times New Roman" w:eastAsia="黑体" w:cs="Times New Roman" w:hint="default"/>
        </w:rPr>
        <w:t>附件</w:t>
      </w:r>
      <w:r>
        <w:rPr>
          <w:b w:val="0"/>
          <w:sz w:val="32"/>
          <w:lang w:val="en-US" w:eastAsia="zh-CN"/>
          <w:bCs w:val="0"/>
          <w:szCs w:val="32"/>
          <w:rFonts w:ascii="Times New Roman" w:hAnsi="Times New Roman" w:eastAsia="黑体" w:cs="Times New Roman" w:hint="eastAsia"/>
        </w:rPr>
        <w:t>2</w:t>
      </w:r>
    </w:p>
    <w:p>
      <w:pPr>
        <w:jc w:val="center"/>
        <w:rPr>
          <w:b w:val="1"/>
          <w:sz w:val="32"/>
          <w:lang w:val="en-US" w:eastAsia="zh-CN"/>
          <w:bCs/>
          <w:szCs w:val="32"/>
          <w:rFonts w:hint="eastAsia"/>
        </w:rPr>
      </w:pPr>
      <w:r>
        <w:rPr>
          <w:b w:val="0"/>
          <w:sz w:val="44"/>
          <w:lang w:val="en-US" w:eastAsia="zh-CN"/>
          <w:bCs w:val="0"/>
          <w:szCs w:val="44"/>
          <w:rFonts w:ascii="方正小标宋_GBK" w:hAnsi="方正小标宋_GBK" w:eastAsia="方正小标宋_GBK" w:cs="方正小标宋_GBK" w:hint="eastAsia"/>
        </w:rPr>
        <w:t>“恭城油茶制作标准店”评分标准</w:t>
      </w:r>
    </w:p>
    <w:tbl>
      <w:tblPr>
        <w:tblStyle w:val="8"/>
        <w:tblOverlap w:val="never"/>
        <w:tblW w:w="10101" w:type="dxa"/>
        <w:tblInd w:type="dxa" w:w="0.000000"/>
        <w:tblLayout w:type="fixed"/>
        <w:tblpPr w:leftFromText="180" w:rightFromText="180" w:vertAnchor="text" w:horzAnchor="page" w:tblpX="1084" w:tblpY="56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085.000000"/>
        <w:gridCol w:w="6920.000000"/>
        <w:gridCol w:w="536.000000"/>
        <w:gridCol w:w="540.000000"/>
        <w:gridCol w:w="540.000000"/>
        <w:gridCol w:w="480.000000"/>
      </w:tblGrid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357" w:hRule="atLeast"/>
        </w:trPr>
        <w:tc>
          <w:tcPr>
            <w:tcW w:w="1085" w:type="dxa"/>
            <w:vMerge w:val="restart"/>
          </w:tcPr>
          <w:p>
            <w:pP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</w:p>
          <w:p>
            <w:pP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</w:p>
          <w:p>
            <w:pP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项目类别</w:t>
            </w:r>
          </w:p>
        </w:tc>
        <w:tc>
          <w:tcPr>
            <w:tcW w:w="6920" w:type="dxa"/>
            <w:vMerge w:val="restart"/>
          </w:tcPr>
          <w:p>
            <w:pPr>
              <w:tabs>
                <w:tab w:val="left" w:pos="1942"/>
              </w:tabs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tab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r>
          </w:p>
          <w:p>
            <w:pPr>
              <w:tabs>
                <w:tab w:val="left" w:pos="1942"/>
              </w:tabs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</w:p>
          <w:p>
            <w:pPr>
              <w:jc w:val="center"/>
              <w:tabs>
                <w:tab w:val="left" w:pos="1942"/>
              </w:tabs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评审要求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自评分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现场评分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1102" w:hRule="atLeast"/>
        </w:trPr>
        <w:tc>
          <w:tcPr>
            <w:tcW w:w="1085" w:type="dxa"/>
            <w:vMerge w:val="continue"/>
          </w:tcPr>
          <w:p>
            <w:pP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6920" w:type="dxa"/>
            <w:vMerge w:val="continue"/>
          </w:tcPr>
          <w:p>
            <w:pPr>
              <w:tabs>
                <w:tab w:val="left" w:pos="1942"/>
              </w:tabs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自评分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黑体" w:hAnsi="黑体" w:eastAsia="黑体" w:cs="黑体" w:hint="eastAsia"/>
              </w:rPr>
              <w:t>现场评分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780" w:hRule="atLeast"/>
        </w:trPr>
        <w:tc>
          <w:tcPr>
            <w:tcW w:w="1085" w:type="dxa"/>
            <w:vMerge w:val="restart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一、经营场所规范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hanging="210" w:hangingChars="100" w:left="281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（8分）</w:t>
            </w: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1.餐店选址应与经营有毒有害物质店面距离≥25m,并远离粉尘、有害汽体、放射性及其它污染源，空汽质量良好（2分）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637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2.建筑结构坚固安全，无安全隐患（1分）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15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3.经营场地面积;市级≥200 平方米，县级≥100平方米（5分）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00" w:hRule="atLeast"/>
        </w:trPr>
        <w:tc>
          <w:tcPr>
            <w:tcW w:w="1085" w:type="dxa"/>
            <w:vMerge w:val="restart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二、主体资格规范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( 14分)</w:t>
            </w: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leftChars="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1.证照齐全，并在有效期内，亮照（证）经营（2分）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45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2.以经营“恭城油茶”为主业（5分）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45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Times New Roman" w:hAnsi="Times New Roman" w:eastAsia="仿宋_GB2312" w:cs="Times New Roman" w:hint="default"/>
              </w:rPr>
              <w:t>3.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从业人员;市级</w:t>
            </w:r>
            <w:r>
              <w:rPr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≥15人，县级≥15人（2分）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508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4.</w:t>
            </w:r>
            <w:r>
              <w:rPr>
                <w:vertAlign w:val="baseline"/>
                <w:b w:val="0"/>
                <w:sz w:val="21"/>
                <w:lang w:val="en-US" w:eastAsia="zh-CN" w:bidi="ar-SA"/>
                <w:bCs w:val="0"/>
                <w:kern w:val="2"/>
                <w:szCs w:val="21"/>
                <w:rFonts w:ascii="Times New Roman" w:hAnsi="Times New Roman" w:eastAsia="仿宋_GB2312" w:cs="Times New Roman" w:hint="default"/>
              </w:rPr>
              <w:t>恭城油茶协会会员（5分）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65" w:hRule="atLeast"/>
        </w:trPr>
        <w:tc>
          <w:tcPr>
            <w:tcW w:w="1085" w:type="dxa"/>
            <w:vMerge w:val="restart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三、标牌标识规范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( 10 分)</w:t>
            </w: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1.店名、招牌有“恭城油茶”字样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（8分）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663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2.</w:t>
            </w: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各类标识、指示牌齐全规范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（2分）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c>
          <w:tcPr>
            <w:tcW w:w="1085" w:type="dxa"/>
            <w:vMerge w:val="restart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四、设备设施规范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(12 分)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1.各功能区（厨房、就餐场所、公共休息区等）布局合理、分隔明确（2分）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90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420" w:firstLineChars="2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2.消防设施、空调设施、卫生厕所及清洁设施齐全（2分）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420" w:firstLineChars="2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3.厨房实施“明厨亮灶”，设施齐全，加工区、冷藏区、仓库区、洗消区分工明确、“三防”设施到位（4分）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60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420" w:firstLineChars="2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4.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室内装修、装饰材料应符合环保要不求（1分）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75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420" w:firstLineChars="2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5.供、排水设施齐全，污水排放符合国家要求（2分）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550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420" w:firstLineChars="2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6.有通风设施、采光度好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（1分）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750" w:hRule="atLeast"/>
        </w:trPr>
        <w:tc>
          <w:tcPr>
            <w:tcW w:w="1085" w:type="dxa"/>
            <w:vMerge w:val="restart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五、卫生规范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( 5分)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420" w:firstLineChars="2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1.食品安全量化分级达C级（2分），B级以上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（3分）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15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420" w:firstLineChars="2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2.使用消毒餐具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（1分）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593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420" w:firstLineChars="2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tabs>
                <w:tab w:val="left" w:pos="1942"/>
              </w:tabs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3.有专人从事清洁卫生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（1分）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1"/>
                <w:sz w:val="21"/>
                <w:lang w:val="en-US" w:eastAsia="zh-CN"/>
                <w:bCs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55" w:hRule="atLeast"/>
        </w:trPr>
        <w:tc>
          <w:tcPr>
            <w:tcW w:w="1085" w:type="dxa"/>
            <w:vMerge w:val="restart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numPr>
                <w:ilvl w:val="0"/>
                <w:numId w:val="0"/>
              </w:numPr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六、食品安全管理规范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numPr>
                <w:ilvl w:val="0"/>
                <w:numId w:val="0"/>
              </w:numPr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( 10 分)</w:t>
            </w: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1.有完善的食品安全管理制度且公布上墙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（2分）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restart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55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2.有专职或兼职的管理人员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（2分）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55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3.进、销货台帐完善（3分）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69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4.从业人员持有效的健康合格证明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（3分）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82" w:hRule="atLeast"/>
        </w:trPr>
        <w:tc>
          <w:tcPr>
            <w:tcW w:w="1085" w:type="dxa"/>
            <w:vMerge w:val="restart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numPr>
                <w:ilvl w:val="0"/>
                <w:numId w:val="0"/>
              </w:numPr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numPr>
                <w:ilvl w:val="0"/>
                <w:numId w:val="0"/>
              </w:numPr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七、服务质量规范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numPr>
                <w:ilvl w:val="0"/>
                <w:numId w:val="0"/>
              </w:numPr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( 10 分)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spacing w:line="320" w:lineRule="exact"/>
              <w:ind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1.商品、服务品明码标价，货真价实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（2分）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restart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28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spacing w:line="320" w:lineRule="exact"/>
              <w:ind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2.从业人员有统一的瑶族服装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（4分）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68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spacing w:line="320" w:lineRule="exact"/>
              <w:ind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3.使用文明用语，推广普通话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（1分）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4.有消费投诉记录并建立完善的跟踪解决机制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（2分）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15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5.有明确的服务质量管理目标，及实现目标的措施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（1分）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79" w:hRule="atLeast"/>
        </w:trPr>
        <w:tc>
          <w:tcPr>
            <w:tcW w:w="1085" w:type="dxa"/>
            <w:vMerge w:val="restart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八、油茶制作规范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( 16 分)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1.油茶制作符合《恭城油茶制作技术要求》DB45/T1479-2017要求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（8分）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62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2.有恭城油茶现场展示设施（4）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62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3.积极推介恭城特色糕点小吃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（2分）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76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numPr>
                <w:ilvl w:val="0"/>
                <w:numId w:val="0"/>
              </w:numPr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4.制作恭城油茶主要原材料来自恭城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（2分）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530" w:hRule="atLeast"/>
        </w:trPr>
        <w:tc>
          <w:tcPr>
            <w:tcW w:w="1085" w:type="dxa"/>
            <w:vMerge w:val="restart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九、企业文化规范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( 11 分)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1.恭城油茶品牌形象及恭城油茶历史文化宣传展示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（6分）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90" w:hRule="atLeast"/>
        </w:trPr>
        <w:tc>
          <w:tcPr>
            <w:tcW w:w="1085" w:type="dxa"/>
            <w:vMerge w:val="continue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firstLine="0" w:firstLineChars="0" w:left="0" w:leftChars="0"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2.热心助推恭城油茶产业发展，重视恭城油茶文化，积极参加恭城油茶推广活动</w:t>
            </w: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仿宋_GB2312" w:cs="Times New Roman" w:hint="default"/>
              </w:rPr>
              <w:t>（5分）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54" w:hRule="atLeast"/>
        </w:trPr>
        <w:tc>
          <w:tcPr>
            <w:tcW w:w="1085" w:type="dxa"/>
            <w:vMerge w:val="restart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十、企业诚信规范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hanging="210" w:hangingChars="100" w:left="241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（4分）</w:t>
            </w: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1.近三年内无违法记录(2分)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54" w:hRule="atLeast"/>
        </w:trPr>
        <w:tc>
          <w:tcPr>
            <w:tcW w:w="1085" w:type="dxa"/>
            <w:vMerge w:val="continue"/>
            <w:vAlign w:val="center"/>
            <w:tcBorders>
              <w:bottom w:val="single" w:color="auto" w:sz="4" w:space="0"/>
            </w:tcBorders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hanging="210" w:hangingChars="100" w:left="241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2.近三年内无食品安全事故发生(2分)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54" w:hRule="atLeast"/>
        </w:trPr>
        <w:tc>
          <w:tcPr>
            <w:tcW w:w="1085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hanging="210" w:hangingChars="100" w:left="241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加分项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hanging="210" w:hangingChars="100" w:left="241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（10分）</w:t>
            </w:r>
          </w:p>
        </w:tc>
        <w:tc>
          <w:tcPr>
            <w:tcW w:w="6920" w:type="dxa"/>
            <w:vAlign w:val="center"/>
            <w:tcBorders>
              <w:left w:val="single" w:color="auto" w:sz="4" w:space="0"/>
            </w:tcBorders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1.店内有“恭城油茶”明显标识或用具、餐具等有“恭城油茶”标识（3分）。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restart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354" w:hRule="atLeast"/>
        </w:trPr>
        <w:tc>
          <w:tcPr>
            <w:tcW w:w="1085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firstLine="210" w:firstLineChars="100"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  <w:tcBorders>
              <w:left w:val="single" w:color="auto" w:sz="4" w:space="0"/>
            </w:tcBorders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2.开展特色文艺节目演绎（2分）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c>
          <w:tcPr>
            <w:tcW w:w="1085" w:type="dxa"/>
            <w:vMerge w:val="continue"/>
            <w:vAlign w:val="center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  <w:tcBorders>
              <w:left w:val="single" w:color="auto" w:sz="4" w:space="0"/>
            </w:tcBorders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3.店内有非遗传承人驻场演绎、指导、培训恭城油茶制作技艺，有相关的台账资料（3分）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  <w:vMerge w:val="continue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45" w:hRule="atLeast"/>
        </w:trPr>
        <w:tc>
          <w:tcPr>
            <w:tcW w:w="1085" w:type="dxa"/>
            <w:vMerge w:val="continue"/>
            <w:vAlign w:val="center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</w:p>
        </w:tc>
        <w:tc>
          <w:tcPr>
            <w:tcW w:w="6920" w:type="dxa"/>
            <w:vAlign w:val="center"/>
            <w:tcBorders>
              <w:left w:val="single" w:color="auto" w:sz="4" w:space="0"/>
            </w:tcBorders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  <w:r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  <w:t>4.其它特色创新（2分）</w:t>
            </w: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614" w:hRule="atLeast"/>
        </w:trPr>
        <w:tc>
          <w:tcPr>
            <w:tcW w:w="1085" w:type="dxa"/>
            <w:vAlign w:val="center"/>
            <w:tcBorders>
              <w:top w:val="single" w:color="auto" w:sz="4" w:space="0"/>
            </w:tcBorders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</w:pPr>
            <w:r>
              <w:rPr>
                <w:vertAlign w:val="baseline"/>
                <w:b w:val="0"/>
                <w:sz w:val="21"/>
                <w:lang w:val="en-US" w:eastAsia="zh-CN"/>
                <w:bCs w:val="0"/>
                <w:szCs w:val="21"/>
                <w:rFonts w:ascii="Times New Roman" w:hAnsi="Times New Roman" w:eastAsia="黑体" w:cs="Times New Roman" w:hint="default"/>
              </w:rPr>
              <w:t>总计得分</w:t>
            </w:r>
          </w:p>
        </w:tc>
        <w:tc>
          <w:tcPr>
            <w:tcW w:w="6920" w:type="dxa"/>
            <w:vAlign w:val="center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36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54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  <w:tc>
          <w:tcPr>
            <w:tcW w:w="480" w:type="dxa"/>
          </w:tcPr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both"/>
              <w:widowControl w:val="0"/>
              <w:outlineLvl w:val="9"/>
              <w:spacing w:line="320" w:lineRule="exact"/>
              <w:ind w:right="0" w:rightChars="0"/>
              <w:rPr>
                <w:vertAlign w:val="baseline"/>
                <w:sz w:val="21"/>
                <w:lang w:val="en-US" w:eastAsia="zh-CN"/>
                <w:szCs w:val="21"/>
                <w:rFonts w:ascii="Times New Roman" w:hAnsi="Times New Roman" w:eastAsia="仿宋_GB2312" w:cs="Times New Roman" w:hint="default"/>
              </w:rPr>
            </w:pPr>
          </w:p>
        </w:tc>
      </w:tr>
    </w:tbl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outlineLvl w:val="9"/>
        <w:spacing w:line="320" w:lineRule="exact"/>
        <w:ind w:right="0" w:rightChars="0"/>
        <w:rPr>
          <w:sz w:val="21"/>
          <w:lang w:val="en-US" w:eastAsia="zh-CN"/>
          <w:szCs w:val="21"/>
          <w:rFonts w:hint="default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outlineLvl w:val="9"/>
        <w:spacing w:line="320" w:lineRule="exact"/>
        <w:ind w:right="0" w:rightChars="0"/>
        <w:rPr>
          <w:sz w:val="21"/>
          <w:lang w:val="en-US" w:eastAsia="zh-CN"/>
          <w:szCs w:val="21"/>
          <w:rFonts w:hint="default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outlineLvl w:val="9"/>
        <w:spacing w:line="320" w:lineRule="exact"/>
        <w:ind w:right="0" w:rightChars="0"/>
        <w:rPr>
          <w:sz w:val="21"/>
          <w:lang w:val="en-US" w:eastAsia="zh-CN"/>
          <w:szCs w:val="21"/>
          <w:rFonts w:hint="default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outlineLvl w:val="9"/>
        <w:spacing w:line="320" w:lineRule="exact"/>
        <w:ind w:right="0" w:rightChars="0"/>
        <w:rPr>
          <w:sz w:val="21"/>
          <w:lang w:val="en-US" w:eastAsia="zh-CN"/>
          <w:szCs w:val="21"/>
          <w:rFonts w:hint="default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outlineLvl w:val="9"/>
        <w:spacing w:line="320" w:lineRule="exact"/>
        <w:ind w:right="0" w:rightChars="0"/>
        <w:rPr>
          <w:sz w:val="21"/>
          <w:lang w:val="en-US" w:eastAsia="zh-CN"/>
          <w:szCs w:val="21"/>
          <w:rFonts w:hint="default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outlineLvl w:val="9"/>
        <w:spacing w:line="320" w:lineRule="exact"/>
        <w:ind w:right="0" w:rightChars="0"/>
        <w:rPr>
          <w:sz w:val="21"/>
          <w:lang w:val="en-US" w:eastAsia="zh-CN"/>
          <w:szCs w:val="21"/>
          <w:rFonts w:hint="default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outlineLvl w:val="9"/>
        <w:spacing w:line="320" w:lineRule="exact"/>
        <w:ind w:right="0" w:rightChars="0"/>
        <w:rPr>
          <w:sz w:val="21"/>
          <w:lang w:val="en-US" w:eastAsia="zh-CN"/>
          <w:szCs w:val="21"/>
          <w:rFonts w:hint="default"/>
        </w:rPr>
      </w:pPr>
    </w:p>
    <w:p>
      <w:pPr>
        <w:jc w:val="both"/>
        <w:rPr>
          <w:b w:val="1"/>
          <w:sz w:val="24"/>
          <w:lang w:val="en-US" w:eastAsia="zh-CN"/>
          <w:bCs/>
          <w:szCs w:val="24"/>
          <w:rFonts w:hint="eastAsia"/>
        </w:rPr>
      </w:pPr>
      <w:r>
        <w:rPr>
          <w:b w:val="0"/>
          <w:sz w:val="32"/>
          <w:lang w:val="en-US" w:eastAsia="zh-CN"/>
          <w:bCs w:val="0"/>
          <w:szCs w:val="32"/>
          <w:rFonts w:ascii="Times New Roman" w:hAnsi="Times New Roman" w:eastAsia="黑体" w:cs="Times New Roman" w:hint="default"/>
        </w:rPr>
        <w:t xml:space="preserve">附件3 </w:t>
      </w:r>
    </w:p>
    <w:tbl>
      <w:tblPr>
        <w:tblStyle w:val="8"/>
        <w:tblW w:w="9309" w:type="dxa"/>
        <w:tblInd w:type="dxa" w:w="0.000000"/>
        <w:tblLayout w:type="fixed"/>
        <w:tblpPr w:leftFromText="180" w:rightFromText="180" w:vertAnchor="page" w:horzAnchor="page" w:tblpX="1449" w:tblpY="3706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427.000000"/>
        <w:gridCol w:w="1609.000000"/>
        <w:gridCol w:w="611.000000"/>
        <w:gridCol w:w="1203.000000"/>
        <w:gridCol w:w="1109.000000"/>
        <w:gridCol w:w="399.000000"/>
        <w:gridCol w:w="1072.000000"/>
        <w:gridCol w:w="898.000000"/>
        <w:gridCol w:w="653.000000"/>
        <w:gridCol w:w="1328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597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tabs>
                <w:tab w:val="left" w:pos="465"/>
              </w:tabs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  <w:t>企业</w:t>
            </w: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基本情况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申报单位</w:t>
            </w:r>
          </w:p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（盖章）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b w:val="0"/>
                <w:lang w:eastAsia="zh-CN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  <w:t>社会信用代码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550" w:hRule="atLeast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tabs>
                <w:tab w:val="left" w:pos="465"/>
              </w:tabs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  <w:t>门</w:t>
            </w: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店地址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注册资金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509" w:hRule="atLeast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tabs>
                <w:tab w:val="left" w:pos="465"/>
              </w:tabs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开业时间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日常经营时间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  <w:t>营业面积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545" w:hRule="atLeast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tabs>
                <w:tab w:val="left" w:pos="465"/>
              </w:tabs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上年营业额</w:t>
            </w:r>
            <w:r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  <w:t xml:space="preserve"> </w:t>
            </w: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（万元）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上年纳税额（万元）</w:t>
            </w:r>
          </w:p>
        </w:tc>
        <w:tc>
          <w:tcPr>
            <w:tcW w:w="3951" w:type="dxa"/>
            <w:gridSpan w:val="4"/>
            <w:vAlign w:val="center"/>
          </w:tcPr>
          <w:p>
            <w:pPr>
              <w:jc w:val="center"/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698" w:hRule="atLeast"/>
        </w:trPr>
        <w:tc>
          <w:tcPr>
            <w:tcW w:w="9309" w:type="dxa"/>
            <w:gridSpan w:val="10"/>
            <w:vAlign w:val="center"/>
          </w:tcPr>
          <w:p>
            <w:pPr>
              <w:jc w:val="center"/>
              <w:rPr>
                <w:b w:val="0"/>
                <w:bCs w:val="0"/>
                <w:rFonts w:ascii="仿宋_GB2312" w:hAnsi="仿宋_GB2312" w:eastAsia="仿宋_GB2312" w:cs="仿宋_GB2312" w:hint="eastAsia"/>
              </w:rPr>
            </w:pPr>
            <w:r>
              <w:rPr>
                <w:b w:val="0"/>
                <w:bCs w:val="0"/>
                <w:rFonts w:ascii="仿宋_GB2312" w:hAnsi="仿宋_GB2312" w:eastAsia="仿宋_GB2312" w:cs="仿宋_GB2312" w:hint="eastAsia"/>
              </w:rPr>
              <w:t>职工总数：    （人），其中非遗传承人    （人）、工作人员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27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企业相关人员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职务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姓名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手机</w:t>
            </w:r>
          </w:p>
        </w:tc>
        <w:tc>
          <w:tcPr>
            <w:tcW w:w="395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370" w:hRule="atLeast"/>
        </w:trPr>
        <w:tc>
          <w:tcPr>
            <w:tcW w:w="427" w:type="dxa"/>
            <w:vMerge w:val="continue"/>
          </w:tcPr>
          <w:p>
            <w:pPr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法</w:t>
            </w:r>
            <w:r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  <w:t xml:space="preserve">  </w:t>
            </w: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人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 w:val="0"/>
                <w:lang w:eastAsia="zh-CN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395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84" w:hRule="atLeast"/>
        </w:trPr>
        <w:tc>
          <w:tcPr>
            <w:tcW w:w="427" w:type="dxa"/>
            <w:vMerge w:val="continue"/>
          </w:tcPr>
          <w:p>
            <w:pPr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传承人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 w:val="0"/>
                <w:lang w:eastAsia="zh-CN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395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418" w:hRule="atLeast"/>
        </w:trPr>
        <w:tc>
          <w:tcPr>
            <w:tcW w:w="427" w:type="dxa"/>
            <w:vMerge w:val="continue"/>
          </w:tcPr>
          <w:p>
            <w:pPr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  <w:t>联系人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  <w:tc>
          <w:tcPr>
            <w:tcW w:w="3951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3583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  <w:t>门店经营情况</w:t>
            </w:r>
            <w:r>
              <w:rPr>
                <w:b w:val="0"/>
                <w:bCs w:val="0"/>
                <w:rFonts w:ascii="Times New Roman" w:hAnsi="Times New Roman" w:eastAsia="黑体" w:cs="Times New Roman" w:hint="default"/>
              </w:rPr>
              <w:t>介绍</w:t>
            </w:r>
          </w:p>
        </w:tc>
        <w:tc>
          <w:tcPr>
            <w:tcW w:w="8882" w:type="dxa"/>
            <w:gridSpan w:val="9"/>
            <w:vAlign w:val="center"/>
          </w:tcPr>
          <w:p>
            <w:pPr>
              <w:jc w:val="left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  <w:p>
            <w:pPr>
              <w:jc w:val="left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  <w:p>
            <w:pPr>
              <w:jc w:val="left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  <w:p>
            <w:pPr>
              <w:jc w:val="left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  <w:p>
            <w:pPr>
              <w:jc w:val="left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  <w:p>
            <w:pPr>
              <w:jc w:val="left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  <w:p>
            <w:pPr>
              <w:jc w:val="left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  <w:p>
            <w:pPr>
              <w:jc w:val="left"/>
              <w:rPr>
                <w:b w:val="0"/>
                <w:bCs w:val="0"/>
                <w:rFonts w:ascii="Times New Roman" w:hAnsi="Times New Roman" w:eastAsia="黑体" w:cs="Times New Roman" w:hint="default"/>
              </w:rPr>
            </w:pPr>
          </w:p>
          <w:p>
            <w:pPr>
              <w:jc w:val="left"/>
              <w:ind w:firstLine="5460" w:firstLineChars="2600"/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  <w:t xml:space="preserve">申报单位：       </w:t>
            </w:r>
          </w:p>
          <w:p>
            <w:pPr>
              <w:jc w:val="left"/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</w:pPr>
            <w:r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  <w:t xml:space="preserve">                 </w:t>
            </w:r>
            <w:r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eastAsia"/>
              </w:rPr>
              <w:t xml:space="preserve">                                  </w:t>
            </w:r>
            <w:r>
              <w:rPr>
                <w:b w:val="0"/>
                <w:lang w:val="en-US" w:eastAsia="zh-CN"/>
                <w:bCs w:val="0"/>
                <w:rFonts w:ascii="Times New Roman" w:hAnsi="Times New Roman" w:eastAsia="黑体" w:cs="Times New Roman" w:hint="default"/>
              </w:rPr>
              <w:t xml:space="preserve"> 申报时间：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  <w:tblLayout w:type="fixed"/>
        </w:tblPrEx>
        <w:trPr>
          <w:trHeight w:val="2199" w:hRule="atLeast"/>
        </w:trPr>
        <w:tc>
          <w:tcPr>
            <w:tcW w:w="2647" w:type="dxa"/>
            <w:gridSpan w:val="3"/>
          </w:tcPr>
          <w:p>
            <w:pPr>
              <w:jc w:val="both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恭城瑶族自治县恭城油茶产业发展服务中心意见：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ind w:firstLine="630" w:firstLineChars="300"/>
              <w:rPr>
                <w:lang w:eastAsia="zh-CN"/>
                <w:rFonts w:hint="eastAsia" w:eastAsiaTheme="minorEastAsia"/>
              </w:rPr>
            </w:pPr>
            <w:r>
              <w:rPr>
                <w:lang w:eastAsia="zh-CN"/>
                <w:rFonts w:hint="eastAsia"/>
              </w:rPr>
              <w:t>（</w:t>
            </w:r>
            <w:r>
              <w:rPr>
                <w:lang w:val="en-US" w:eastAsia="zh-CN"/>
                <w:rFonts w:hint="eastAsia"/>
              </w:rPr>
              <w:t>盖章</w:t>
            </w:r>
            <w:r>
              <w:rPr>
                <w:lang w:eastAsia="zh-CN"/>
                <w:rFonts w:hint="eastAsia"/>
              </w:rPr>
              <w:t>）</w:t>
            </w:r>
          </w:p>
          <w:p>
            <w:pPr>
              <w:jc w:val="center"/>
              <w:rPr>
                <w:lang w:val="en-US" w:eastAsia="zh-CN"/>
                <w:rFonts w:hint="eastAsia" w:eastAsiaTheme="minorEastAsia"/>
              </w:rPr>
            </w:pPr>
            <w:r>
              <w:rPr>
                <w:lang w:val="en-US" w:eastAsia="zh-CN"/>
                <w:rFonts w:hint="eastAsia"/>
              </w:rPr>
              <w:t>日期：</w:t>
            </w:r>
          </w:p>
        </w:tc>
        <w:tc>
          <w:tcPr>
            <w:tcW w:w="2312" w:type="dxa"/>
            <w:gridSpan w:val="2"/>
          </w:tcPr>
          <w:p>
            <w:pPr>
              <w:jc w:val="center"/>
              <w:rPr>
                <w:lang w:val="en-US" w:eastAsia="zh-CN"/>
                <w:rFonts w:hint="default"/>
              </w:rPr>
            </w:pPr>
            <w:r>
              <w:rPr>
                <w:lang w:val="en-US" w:eastAsia="zh-CN"/>
                <w:rFonts w:hint="eastAsia"/>
              </w:rPr>
              <w:t>恭城瑶族自治县科技工信和商贸局意见：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ind w:firstLine="630" w:firstLineChars="300"/>
              <w:rPr>
                <w:lang w:eastAsia="zh-CN"/>
                <w:rFonts w:hint="eastAsia"/>
              </w:rPr>
            </w:pPr>
          </w:p>
          <w:p>
            <w:pPr>
              <w:jc w:val="both"/>
              <w:ind w:firstLine="630" w:firstLineChars="300"/>
              <w:rPr>
                <w:lang w:eastAsia="zh-CN"/>
                <w:rFonts w:hint="eastAsia" w:eastAsiaTheme="minorEastAsia"/>
              </w:rPr>
            </w:pPr>
            <w:r>
              <w:rPr>
                <w:lang w:eastAsia="zh-CN"/>
                <w:rFonts w:hint="eastAsia"/>
              </w:rPr>
              <w:t>（</w:t>
            </w:r>
            <w:r>
              <w:rPr>
                <w:lang w:val="en-US" w:eastAsia="zh-CN"/>
                <w:rFonts w:hint="eastAsia"/>
              </w:rPr>
              <w:t>盖章</w:t>
            </w:r>
            <w:r>
              <w:rPr>
                <w:lang w:eastAsia="zh-CN"/>
                <w:rFonts w:hint="eastAsia"/>
              </w:rPr>
              <w:t>）</w:t>
            </w:r>
          </w:p>
          <w:p>
            <w:pPr>
              <w:jc w:val="center"/>
            </w:pPr>
            <w:r>
              <w:rPr>
                <w:lang w:val="en-US" w:eastAsia="zh-CN"/>
                <w:rFonts w:hint="eastAsia"/>
              </w:rPr>
              <w:t>日期：</w:t>
            </w:r>
          </w:p>
        </w:tc>
        <w:tc>
          <w:tcPr>
            <w:tcW w:w="2369" w:type="dxa"/>
            <w:gridSpan w:val="3"/>
          </w:tcPr>
          <w:p>
            <w:pPr>
              <w:jc w:val="both"/>
              <w:rPr>
                <w:lang w:val="en-US" w:eastAsia="zh-CN"/>
                <w:rFonts w:hint="default" w:eastAsiaTheme="minorEastAsia"/>
              </w:rPr>
            </w:pPr>
            <w:r>
              <w:rPr>
                <w:lang w:val="en-US" w:eastAsia="zh-CN"/>
                <w:rFonts w:hint="eastAsia"/>
              </w:rPr>
              <w:t>恭城瑶族自治县市场监督管理局意见：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lang w:eastAsia="zh-CN"/>
                <w:rFonts w:hint="eastAsia"/>
              </w:rPr>
            </w:pPr>
          </w:p>
          <w:p>
            <w:pPr>
              <w:jc w:val="center"/>
              <w:rPr>
                <w:lang w:eastAsia="zh-CN"/>
                <w:rFonts w:hint="eastAsia" w:eastAsiaTheme="minorEastAsia"/>
              </w:rPr>
            </w:pPr>
            <w:r>
              <w:rPr>
                <w:lang w:eastAsia="zh-CN"/>
                <w:rFonts w:hint="eastAsia"/>
              </w:rPr>
              <w:t>（</w:t>
            </w:r>
            <w:r>
              <w:rPr>
                <w:lang w:val="en-US" w:eastAsia="zh-CN"/>
                <w:rFonts w:hint="eastAsia"/>
              </w:rPr>
              <w:t>盖章</w:t>
            </w:r>
            <w:r>
              <w:rPr>
                <w:lang w:eastAsia="zh-CN"/>
                <w:rFonts w:hint="eastAsia"/>
              </w:rPr>
              <w:t>）</w:t>
            </w:r>
          </w:p>
          <w:p>
            <w:pPr>
              <w:jc w:val="center"/>
              <w:rPr>
                <w:lang w:val="en-US" w:eastAsia="zh-CN"/>
                <w:rFonts w:hint="eastAsia" w:eastAsiaTheme="minorEastAsia"/>
              </w:rPr>
            </w:pPr>
            <w:r>
              <w:rPr>
                <w:lang w:val="en-US" w:eastAsia="zh-CN"/>
                <w:rFonts w:hint="eastAsia"/>
              </w:rPr>
              <w:t>日期：</w:t>
            </w:r>
          </w:p>
        </w:tc>
        <w:tc>
          <w:tcPr>
            <w:tcW w:w="1981" w:type="dxa"/>
            <w:gridSpan w:val="2"/>
          </w:tcPr>
          <w:p>
            <w:pPr>
              <w:jc w:val="both"/>
              <w:rPr>
                <w:lang w:val="en-US" w:eastAsia="zh-CN"/>
                <w:rFonts w:hint="default" w:eastAsiaTheme="minorEastAsia"/>
              </w:rPr>
            </w:pPr>
            <w:r>
              <w:rPr>
                <w:lang w:val="en-US" w:eastAsia="zh-CN"/>
                <w:rFonts w:hint="eastAsia"/>
              </w:rPr>
              <w:t>恭城瑶族自治县文化广电体育和旅游局意见：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ind w:firstLine="210" w:firstLineChars="100"/>
              <w:rPr>
                <w:lang w:eastAsia="zh-CN"/>
                <w:rFonts w:hint="eastAsia" w:eastAsiaTheme="minorEastAsia"/>
              </w:rPr>
            </w:pPr>
            <w:r>
              <w:rPr>
                <w:lang w:eastAsia="zh-CN"/>
                <w:rFonts w:hint="eastAsia"/>
              </w:rPr>
              <w:t>（</w:t>
            </w:r>
            <w:r>
              <w:rPr>
                <w:lang w:val="en-US" w:eastAsia="zh-CN"/>
                <w:rFonts w:hint="eastAsia"/>
              </w:rPr>
              <w:t>盖章</w:t>
            </w:r>
            <w:r>
              <w:rPr>
                <w:lang w:eastAsia="zh-CN"/>
                <w:rFonts w:hint="eastAsia"/>
              </w:rPr>
              <w:t>）</w:t>
            </w:r>
          </w:p>
          <w:p>
            <w:pPr>
              <w:jc w:val="both"/>
              <w:ind w:firstLine="420" w:firstLineChars="200"/>
              <w:rPr>
                <w:lang w:val="en-US" w:eastAsia="zh-CN"/>
                <w:rFonts w:hint="default" w:eastAsiaTheme="minorEastAsia"/>
              </w:rPr>
            </w:pPr>
            <w:r>
              <w:rPr>
                <w:lang w:val="en-US" w:eastAsia="zh-CN"/>
                <w:rFonts w:hint="eastAsia"/>
              </w:rPr>
              <w:t>日期：</w:t>
            </w:r>
          </w:p>
        </w:tc>
      </w:tr>
    </w:tbl>
    <w:p>
      <w:pPr>
        <w:jc w:val="center"/>
        <w:rPr>
          <w:b w:val="0"/>
          <w:sz w:val="44"/>
          <w:lang w:val="en-US" w:eastAsia="zh-CN"/>
          <w:bCs w:val="0"/>
          <w:szCs w:val="44"/>
          <w:rFonts w:ascii="方正小标宋_GBK" w:hAnsi="方正小标宋_GBK" w:eastAsia="方正小标宋_GBK" w:cs="方正小标宋_GBK" w:hint="eastAsia"/>
        </w:rPr>
      </w:pPr>
      <w:r>
        <w:rPr>
          <w:b w:val="0"/>
          <w:sz w:val="44"/>
          <w:lang w:eastAsia="zh-CN"/>
          <w:bCs w:val="0"/>
          <w:szCs w:val="44"/>
          <w:rFonts w:ascii="方正小标宋_GBK" w:hAnsi="方正小标宋_GBK" w:eastAsia="方正小标宋_GBK" w:cs="方正小标宋_GBK" w:hint="eastAsia"/>
        </w:rPr>
        <w:t>“</w:t>
      </w:r>
      <w:r>
        <w:rPr>
          <w:b w:val="0"/>
          <w:sz w:val="44"/>
          <w:lang w:val="en-US" w:eastAsia="zh-CN"/>
          <w:bCs w:val="0"/>
          <w:szCs w:val="44"/>
          <w:rFonts w:ascii="方正小标宋_GBK" w:hAnsi="方正小标宋_GBK" w:eastAsia="方正小标宋_GBK" w:cs="方正小标宋_GBK" w:hint="eastAsia"/>
        </w:rPr>
        <w:t>恭城油茶制作标准店</w:t>
      </w:r>
      <w:r>
        <w:rPr>
          <w:b w:val="0"/>
          <w:sz w:val="44"/>
          <w:lang w:eastAsia="zh-CN"/>
          <w:bCs w:val="0"/>
          <w:szCs w:val="44"/>
          <w:rFonts w:ascii="方正小标宋_GBK" w:hAnsi="方正小标宋_GBK" w:eastAsia="方正小标宋_GBK" w:cs="方正小标宋_GBK" w:hint="eastAsia"/>
        </w:rPr>
        <w:t>”</w:t>
      </w:r>
      <w:r>
        <w:rPr>
          <w:b w:val="0"/>
          <w:sz w:val="44"/>
          <w:lang w:val="en-US" w:eastAsia="zh-CN"/>
          <w:bCs w:val="0"/>
          <w:szCs w:val="44"/>
          <w:rFonts w:ascii="方正小标宋_GBK" w:hAnsi="方正小标宋_GBK" w:eastAsia="方正小标宋_GBK" w:cs="方正小标宋_GBK" w:hint="eastAsia"/>
        </w:rPr>
        <w:t>评比申报</w:t>
      </w:r>
      <w:r>
        <w:rPr>
          <w:b w:val="0"/>
          <w:sz w:val="44"/>
          <w:bCs w:val="0"/>
          <w:szCs w:val="44"/>
          <w:rFonts w:ascii="方正小标宋_GBK" w:hAnsi="方正小标宋_GBK" w:eastAsia="方正小标宋_GBK" w:cs="方正小标宋_GBK" w:hint="eastAsia"/>
        </w:rPr>
        <w:t>表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outlineLvl w:val="9"/>
        <w:spacing w:line="320" w:lineRule="exact"/>
        <w:ind w:right="0" w:rightChars="0"/>
        <w:rPr>
          <w:sz w:val="21"/>
          <w:lang w:val="en-US" w:eastAsia="zh-CN"/>
          <w:szCs w:val="21"/>
          <w:rFonts w:hint="default"/>
        </w:rPr>
      </w:pPr>
    </w:p>
    <w:sectPr>
      <w:docGrid w:type="lines" w:linePitch="312" w:charSpace="0"/>
      <w:pgSz w:w="11906" w:h="16838"/>
      <w:pgMar w:top="2098" w:right="1304" w:bottom="1304" w:left="1587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4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05816B9"/>
    <w:rsid w:val="05841C49"/>
    <w:rsid w:val="0E955A2E"/>
    <w:rsid w:val="1FF46159"/>
    <w:rsid w:val="214A5B3B"/>
    <w:rsid w:val="21DD2ADA"/>
    <w:rsid w:val="236E0E00"/>
    <w:rsid w:val="25FE7E0B"/>
    <w:rsid w:val="2EC203D7"/>
    <w:rsid w:val="2F7F3CA7"/>
    <w:rsid w:val="311566B0"/>
    <w:rsid w:val="327E047F"/>
    <w:rsid w:val="368160A0"/>
    <w:rsid w:val="3BA06551"/>
    <w:rsid w:val="3D056550"/>
    <w:rsid w:val="428B2731"/>
    <w:rsid w:val="45043365"/>
    <w:rsid w:val="497CA17B"/>
    <w:rsid w:val="4D9B1674"/>
    <w:rsid w:val="4E3330C8"/>
    <w:rsid w:val="593B5B03"/>
    <w:rsid w:val="66752227"/>
    <w:rsid w:val="697029F2"/>
    <w:rsid w:val="6EFA7419"/>
    <w:rsid w:val="7DBF84DC"/>
    <w:rsid w:val="7E1B8553"/>
    <w:rsid w:val="BFFE4DD6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Rockwell" w:hAnsi="Rockwell" w:eastAsia="方正姚体" w:cs="Times New Roman"/>
      </w:rPr>
    </w:rPrDefault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paragraph" w:styleId="2">
    <w:name w:val="heading 1"/>
    <w:basedOn w:val="1"/>
    <w:uiPriority w:val="0"/>
    <w:qFormat/>
    <w:pPr>
      <w:keepNext w:val="1"/>
      <w:keepLines w:val="1"/>
      <w:outlineLvl w:val="0"/>
      <w:spacing w:after="330" w:before="340" w:line="576" w:lineRule="auto"/>
    </w:pPr>
    <w:rPr>
      <w:b w:val="1"/>
      <w:sz w:val="44"/>
      <w:kern w:val="44"/>
    </w:rPr>
  </w:style>
  <w:style w:type="character" w:styleId="9" w:default="1">
    <w:name w:val="Default Paragraph Font"/>
    <w:uiPriority w:val="0"/>
    <w:semiHidden/>
    <w:qFormat/>
  </w:style>
  <w:style w:type="table" w:styleId="7" w:default="1">
    <w:name w:val="Normal Table"/>
    <w:uiPriority w:val="0"/>
    <w:semiHidden/>
    <w:qFormat/>
    <w:tblPr>
      <w:tblLayout w:type="fixed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3">
    <w:name w:val="Body Text"/>
    <w:basedOn w:val="1"/>
    <w:uiPriority w:val="1"/>
    <w:qFormat/>
    <w:pPr>
      <w:ind w:left="589"/>
    </w:pPr>
    <w:rPr>
      <w:sz w:val="32"/>
      <w:szCs w:val="32"/>
      <w:rFonts w:ascii="仿宋" w:hAnsi="仿宋" w:eastAsia="仿宋" w:cs="仿宋"/>
    </w:rPr>
  </w:style>
  <w:style w:type="paragraph" w:styleId="4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uiPriority w:val="0"/>
    <w:qFormat/>
    <w:pPr>
      <w:snapToGrid w:val="0"/>
      <w:jc w:val="both"/>
      <w:outlineLvl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6">
    <w:name w:val="Body Text First Indent"/>
    <w:basedOn w:val="3"/>
    <w:uiPriority w:val="0"/>
    <w:qFormat/>
    <w:pPr>
      <w:spacing w:line="600" w:lineRule="exact"/>
      <w:ind w:firstLine="200" w:firstLineChars="200"/>
    </w:pPr>
  </w:style>
  <w:style w:type="table" w:styleId="8">
    <w:name w:val="Table Grid"/>
    <w:basedOn w:val="7"/>
    <w:uiPriority w:val="0"/>
    <w:qFormat/>
    <w:pPr>
      <w:widowControl w:val="0"/>
      <w:jc w:val="both"/>
      <w:widowControl w:val="0"/>
    </w:pPr>
    <w:tblPr>
      <w:tblLayout w:type="fixed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6</Pages>
  <Words>2530</Words>
  <Characters>2646</Characters>
  <Application>WPS Office_11.8.2.8411_F1E327BC-269C-435d-A152-05C5408002CA</Application>
  <DocSecurity>0</DocSecurity>
  <Lines>0</Lines>
  <Paragraphs>0</Paragraphs>
  <ScaleCrop>false</ScaleCrop>
  <Company/>
  <LinksUpToDate>false</LinksUpToDate>
  <CharactersWithSpaces>2748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ZWGS</dc:creator>
  <cp:keywords/>
  <dc:description/>
  <cp:lastModifiedBy>AK</cp:lastModifiedBy>
  <cp:revision>0</cp:revision>
  <dcterms:created xsi:type="dcterms:W3CDTF">2024-04-28T16:56:00Z</dcterms:created>
  <dcterms:modified xsi:type="dcterms:W3CDTF">2024-07-08T01:07:44Z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2052-11.8.2.8411</vt:lpwstr>
  </property>
  <property fmtid="{D5CDD505-2E9C-101B-9397-08002B2CF9AE}" pid="3" name="ICV">
    <vt:lpwstr>E3C37F84E1EC4A3CAFF59744EA1650E4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both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“恭城油茶制作标准店”评比工作方案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为了进一步提升恭城油茶的品牌影响力和市场竞争力，推动恭城油茶产业健康发展，特开展恭城油茶制作标准店评比工作。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一、参评条件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（一）参评单位原则要求是恭城瑶族自治油茶协会会员；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（二）参评单位必须是正常经营“恭城油茶”餐饮的实体门店，持有有效期内的《营业执照》和《食品经营许可证》，从业人员持有有效期内的健康证明。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（三）参评单位应本着自愿参与的原则，内部管理规范，从业人员着装统一整洁，有较完善的食品安全管理制度和应急处置方案。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（四）参评单位应有符合条件的经营场所和完善的设施、设备，场所卫生整洁，连续3年以上无违反食品安全法律法规受到行政处罚的记录，3年内未发生较大以上食品安全事故。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二、评比标准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参评对象从经营场所规范、主体资格规范、标牌标识规范、设备设施规范、卫生规范、食品安全管理规范、服务质量规范、恭城油茶制作规范、企业文化规范、企业诚信规范等10个方面按《恭城油茶制作标准店评分标准》（详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）进行打分评比，达85分以上（含85分）可评为恭城油茶制作标准店。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三、评比流程及时间安排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阶段（2024年7月8日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7月28日）：在有关网站发布《关于开展“恭城油茶制作标准店”评比的通知》，通过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《“恭城油茶制作标准店”申报表》（详见附件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发送到指定邮箱进行申报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时间为2024年7月8日起至2024年7月28日止。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（二）预评审阶段（2024年7月29日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7月31日）：由县油茶产业发展服务中心、县市场监督管理局、县科技工信和商贸局、文广体旅局及县油茶协会对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参评单位对照参评条件进行筛选，确定符合条件的参评单位名单。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（二）评审阶段（2024年8月1日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月20日）：由县油茶产业发展服务中心、县市场监督管理局、县科技工信和商贸局、县文广体旅局、县油茶协会等部门抽调人员组成评审小组，根据城市地理位置分组对参评单位按《“恭城油茶制作标准店”评分标准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（附件2）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进行现场考察和评审。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（三）评选结果公布（2024年9月21日--9月30日）：经过评审小组的综合评定，最终确定“恭城油茶制作标准店”名单并予以公布。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（四）授牌（2024年10月30日前）：对本次评选出的恭城油茶制作标准店，由恭城瑶族自治人民政府颁发“恭城油茶制作标准店”牌匾，并制作“恭城油茶制作标准店”小程序，通过网络媒体加强宣传，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让消费者知晓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恭城油茶制作标准门店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详情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五）后期管理：每年对恭城油茶制作标准店按《“恭城油茶制作标准店”评分标准》开展一次回访评分，对回访评分低于85分的门店下达限期整改通知书，限期整改时限过后进行复核评分仍未达到85分以上的将予以摘牌，并从“恭城油茶制作标准店”小程序中移出，通过网络媒体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（一）参评单位应如实提供相关资料，如有弄虚作假等行为，将取消其参评资格；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（二）评比过程中，评审小组将严格按照评分标准进行评分，确保评比结果的公正性和客观性。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恭城瑶族自治县恭城油茶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恭城瑶族自治县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产业发展服务中心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科技工信和商贸局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1609" w:firstLineChars="503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6078" w:leftChars="456" w:hanging="5120" w:hangingChars="16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恭城瑶族自治县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恭城瑶族自治县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市场监督管理局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6079" w:leftChars="152" w:hanging="5760" w:hangingChars="18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2024年7月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ind w:firstLine="3846" w:firstLineChars="12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6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“恭城油茶制作标准店”评分标准</w:t>
      </w:r>
    </w:p>
    <w:tbl>
      <w:tblPr>
        <w:tblStyle w:val="8"/>
        <w:tblpPr w:leftFromText="180" w:rightFromText="180" w:vertAnchor="text" w:horzAnchor="page" w:tblpX="1084" w:tblpY="56"/>
        <w:tblOverlap w:val="never"/>
        <w:tblW w:w="10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6920"/>
        <w:gridCol w:w="536"/>
        <w:gridCol w:w="540"/>
        <w:gridCol w:w="540"/>
        <w:gridCol w:w="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85" w:type="dxa"/>
            <w:vMerge w:val="restart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920" w:type="dxa"/>
            <w:vMerge w:val="restart"/>
          </w:tcPr>
          <w:p>
            <w:pPr>
              <w:tabs>
                <w:tab w:val="left" w:pos="1942"/>
              </w:tabs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</w:p>
          <w:p>
            <w:pPr>
              <w:tabs>
                <w:tab w:val="left" w:pos="1942"/>
              </w:tabs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1942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评审要求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自评分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现场评分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085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Merge w:val="continue"/>
          </w:tcPr>
          <w:p>
            <w:pPr>
              <w:tabs>
                <w:tab w:val="left" w:pos="1942"/>
              </w:tabs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自评分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现场评分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一、经营场所规范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1" w:right="0" w:rightChars="0" w:hanging="210" w:hanging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（8分）</w:t>
            </w: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1.餐店选址应与经营有毒有害物质店面距离≥25m,并远离粉尘、有害汽体、放射性及其它污染源，空汽质量良好（2分）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2.建筑结构坚固安全，无安全隐患（1分）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3.经营场地面积;市级≥200 平方米，县级≥100平方米（5分）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二、主体资格规范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( 14分)</w:t>
            </w: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1.证照齐全，并在有效期内，亮照（证）经营（2分）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2.以经营“恭城油茶”为主业（5分）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从业人员;市级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≥15人，县级≥15人（2分）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恭城油茶协会会员（5分）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三、标牌标识规范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( 10 分)</w:t>
            </w: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1.店名、招牌有“恭城油茶”字样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（8分）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各类标识、指示牌齐全规范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四、设备设施规范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(12 分)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1.各功能区（厨房、就餐场所、公共休息区等）布局合理、分隔明确（2分）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2.消防设施、空调设施、卫生厕所及清洁设施齐全（2分）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3.厨房实施“明厨亮灶”，设施齐全，加工区、冷藏区、仓库区、洗消区分工明确、“三防”设施到位（4分）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室内装修、装饰材料应符合环保要不求（1分）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5.供、排水设施齐全，污水排放符合国家要求（2分）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6.有通风设施、采光度好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五、卫生规范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( 5分)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1.食品安全量化分级达C级（2分），B级以上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2.使用消毒餐具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3.有专人从事清洁卫生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六、食品安全管理规范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( 10 分)</w:t>
            </w: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1.有完善的食品安全管理制度且公布上墙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2.有专职或兼职的管理人员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3.进、销货台帐完善（3分）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4.从业人员持有效的健康合格证明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七、服务质量规范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( 10 分)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1.商品、服务品明码标价，货真价实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2.从业人员有统一的瑶族服装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3.使用文明用语，推广普通话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4.有消费投诉记录并建立完善的跟踪解决机制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5.有明确的服务质量管理目标，及实现目标的措施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八、油茶制作规范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( 16 分)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1.油茶制作符合《恭城油茶制作技术要求》DB45/T1479-2017要求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（8分）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2.有恭城油茶现场展示设施（4）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3.积极推介恭城特色糕点小吃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4.制作恭城油茶主要原材料来自恭城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九、企业文化规范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( 11 分)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1.恭城油茶品牌形象及恭城油茶历史文化宣传展示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2.热心助推恭城油茶产业发展，重视恭城油茶文化，积极参加恭城油茶推广活动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十、企业诚信规范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1" w:right="0" w:rightChars="0" w:hanging="210" w:hangingChars="1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（4分）</w:t>
            </w: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1.近三年内无违法记录(2分)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1" w:right="0" w:rightChars="0" w:hanging="210" w:hanging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2.近三年内无食品安全事故发生(2分)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1" w:right="0" w:rightChars="0" w:hanging="210" w:hanging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加分项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1" w:right="0" w:rightChars="0" w:hanging="210" w:hanging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69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1.店内有“恭城油茶”明显标识或用具、餐具等有“恭城油茶”标识（3分）。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2.开展特色文艺节目演绎（2分）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3.店内有非遗传承人驻场演绎、指导、培训恭城油茶制作技艺，有相关的台账资料（3分）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4.其它特色创新（2分）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8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总计得分</w:t>
            </w: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附件3 </w:t>
      </w:r>
    </w:p>
    <w:tbl>
      <w:tblPr>
        <w:tblStyle w:val="8"/>
        <w:tblpPr w:leftFromText="180" w:rightFromText="180" w:vertAnchor="page" w:horzAnchor="page" w:tblpX="1449" w:tblpY="3706"/>
        <w:tblW w:w="9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609"/>
        <w:gridCol w:w="611"/>
        <w:gridCol w:w="1203"/>
        <w:gridCol w:w="1109"/>
        <w:gridCol w:w="399"/>
        <w:gridCol w:w="1072"/>
        <w:gridCol w:w="898"/>
        <w:gridCol w:w="653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27" w:type="dxa"/>
            <w:vMerge w:val="restart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基本情况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申报单位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（盖章）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eastAsia="zh-CN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>社会信用代码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7" w:type="dxa"/>
            <w:vMerge w:val="continue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店地址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注册资金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27" w:type="dxa"/>
            <w:vMerge w:val="continue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开业时间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日常经营时间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>营业面积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7" w:type="dxa"/>
            <w:vMerge w:val="continue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上年营业额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（万元）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上年纳税额（万元）</w:t>
            </w:r>
          </w:p>
        </w:tc>
        <w:tc>
          <w:tcPr>
            <w:tcW w:w="395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09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职工总数：    （人），其中非遗传承人    （人）、工作人员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企业相关人员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职务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姓名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手机</w:t>
            </w:r>
          </w:p>
        </w:tc>
        <w:tc>
          <w:tcPr>
            <w:tcW w:w="395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7" w:type="dxa"/>
            <w:vMerge w:val="continue"/>
          </w:tcPr>
          <w:p>
            <w:pPr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法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人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eastAsia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95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27" w:type="dxa"/>
            <w:vMerge w:val="continue"/>
          </w:tcPr>
          <w:p>
            <w:pPr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传承人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eastAsia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</w:p>
        </w:tc>
        <w:tc>
          <w:tcPr>
            <w:tcW w:w="395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7" w:type="dxa"/>
            <w:vMerge w:val="continue"/>
          </w:tcPr>
          <w:p>
            <w:pPr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>联系人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  <w:tc>
          <w:tcPr>
            <w:tcW w:w="395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>门店经营情况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</w:rPr>
              <w:t>介绍</w:t>
            </w:r>
          </w:p>
        </w:tc>
        <w:tc>
          <w:tcPr>
            <w:tcW w:w="8882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</w:rPr>
            </w:pPr>
          </w:p>
          <w:p>
            <w:pPr>
              <w:ind w:firstLine="5460" w:firstLineChars="260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 xml:space="preserve">申报单位：       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 xml:space="preserve"> 申报时间：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647" w:type="dxa"/>
            <w:gridSpan w:val="3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恭城瑶族自治县恭城油茶产业发展服务中心意见：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630" w:firstLineChars="3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日期：</w:t>
            </w:r>
          </w:p>
        </w:tc>
        <w:tc>
          <w:tcPr>
            <w:tcW w:w="2312" w:type="dxa"/>
            <w:gridSpan w:val="2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恭城瑶族自治县科技工信和商贸局意见：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630" w:firstLineChars="3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日期：</w:t>
            </w:r>
          </w:p>
        </w:tc>
        <w:tc>
          <w:tcPr>
            <w:tcW w:w="2369" w:type="dxa"/>
            <w:gridSpan w:val="3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恭城瑶族自治县市场监督管理局意见：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日期：</w:t>
            </w:r>
          </w:p>
        </w:tc>
        <w:tc>
          <w:tcPr>
            <w:tcW w:w="1981" w:type="dxa"/>
            <w:gridSpan w:val="2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恭城瑶族自治县文化广电体育和旅游局意见：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210" w:firstLineChars="1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ind w:firstLine="420" w:firstLineChars="2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日期：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恭城油茶制作标准店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评比申报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2098" w:right="1304" w:bottom="1304" w:left="1587" w:header="851" w:footer="992" w:gutter="0"/>
      <w:cols w:space="425" w:num="1"/>
      <w:docGrid w:type="lines" w:linePitch="312" w:charSpace="0"/>
    </w:sectPr>
  </w:body>
</w:document>
</file>